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E686E" w:rsidRDefault="00000000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Table S</w:t>
      </w:r>
      <w:r>
        <w:rPr>
          <w:rFonts w:ascii="Times New Roman" w:hAnsi="Times New Roman" w:cs="Times New Roman" w:hint="eastAsia"/>
          <w:b/>
          <w:sz w:val="20"/>
          <w:szCs w:val="20"/>
          <w:lang w:val="en-US" w:eastAsia="zh-CN"/>
        </w:rPr>
        <w:t>4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.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BE686E" w:rsidRDefault="00000000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Inhibitory effects of stable shRNA-Pnn respect to shRNA-C HCT116 cells line on growth with different OHP and 5-FU concentration after 72hs</w:t>
      </w:r>
    </w:p>
    <w:p w:rsidR="00BE686E" w:rsidRDefault="00BE686E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560"/>
        <w:gridCol w:w="1701"/>
        <w:gridCol w:w="1701"/>
        <w:gridCol w:w="1701"/>
      </w:tblGrid>
      <w:tr w:rsidR="00BE686E">
        <w:trPr>
          <w:trHeight w:val="315"/>
          <w:jc w:val="center"/>
        </w:trPr>
        <w:tc>
          <w:tcPr>
            <w:tcW w:w="3261" w:type="dxa"/>
            <w:gridSpan w:val="2"/>
            <w:vMerge w:val="restart"/>
            <w:tcBorders>
              <w:top w:val="nil"/>
              <w:left w:val="nil"/>
            </w:tcBorders>
            <w:noWrap/>
            <w:vAlign w:val="center"/>
          </w:tcPr>
          <w:p w:rsidR="00BE686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Group</w:t>
            </w: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shRNA-C</w:t>
            </w: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shRNA-Pnn</w:t>
            </w:r>
          </w:p>
        </w:tc>
      </w:tr>
      <w:tr w:rsidR="00BE686E">
        <w:trPr>
          <w:trHeight w:val="315"/>
          <w:jc w:val="center"/>
        </w:trPr>
        <w:tc>
          <w:tcPr>
            <w:tcW w:w="3261" w:type="dxa"/>
            <w:gridSpan w:val="2"/>
            <w:vMerge/>
            <w:tcBorders>
              <w:left w:val="nil"/>
            </w:tcBorders>
            <w:noWrap/>
            <w:vAlign w:val="center"/>
          </w:tcPr>
          <w:p w:rsidR="00BE686E" w:rsidRDefault="00BE6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Mean ±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Mean ±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</w:t>
            </w:r>
          </w:p>
        </w:tc>
      </w:tr>
      <w:tr w:rsidR="00BE686E">
        <w:trPr>
          <w:trHeight w:val="408"/>
          <w:jc w:val="center"/>
        </w:trPr>
        <w:tc>
          <w:tcPr>
            <w:tcW w:w="1560" w:type="dxa"/>
            <w:vMerge w:val="restart"/>
            <w:noWrap/>
            <w:vAlign w:val="center"/>
          </w:tcPr>
          <w:p w:rsidR="00BE686E" w:rsidRDefault="00000000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OHP</w:t>
            </w:r>
          </w:p>
        </w:tc>
        <w:tc>
          <w:tcPr>
            <w:tcW w:w="1701" w:type="dxa"/>
            <w:vAlign w:val="center"/>
          </w:tcPr>
          <w:p w:rsidR="00BE686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Ctrl</w:t>
            </w: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± 0.81</w:t>
            </w: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87.25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± 1.34*</w:t>
            </w:r>
          </w:p>
        </w:tc>
      </w:tr>
      <w:tr w:rsidR="00BE686E">
        <w:trPr>
          <w:trHeight w:val="315"/>
          <w:jc w:val="center"/>
        </w:trPr>
        <w:tc>
          <w:tcPr>
            <w:tcW w:w="1560" w:type="dxa"/>
            <w:vMerge/>
            <w:noWrap/>
            <w:vAlign w:val="center"/>
          </w:tcPr>
          <w:p w:rsidR="00BE686E" w:rsidRDefault="00BE6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OHP 0.02µM</w:t>
            </w: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99.16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3.88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91.51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1.89*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686E">
        <w:trPr>
          <w:trHeight w:val="315"/>
          <w:jc w:val="center"/>
        </w:trPr>
        <w:tc>
          <w:tcPr>
            <w:tcW w:w="1560" w:type="dxa"/>
            <w:vMerge/>
            <w:noWrap/>
            <w:vAlign w:val="center"/>
          </w:tcPr>
          <w:p w:rsidR="00BE686E" w:rsidRDefault="00BE6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OHP 0.1µM</w:t>
            </w: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91.40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4.46</w:t>
            </w: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69.13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2.14*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686E">
        <w:trPr>
          <w:trHeight w:val="413"/>
          <w:jc w:val="center"/>
        </w:trPr>
        <w:tc>
          <w:tcPr>
            <w:tcW w:w="1560" w:type="dxa"/>
            <w:vMerge/>
            <w:noWrap/>
            <w:vAlign w:val="center"/>
          </w:tcPr>
          <w:p w:rsidR="00BE686E" w:rsidRDefault="00BE6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OHP 0.5µM</w:t>
            </w: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59.30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3.64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53.36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0.92*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686E">
        <w:trPr>
          <w:trHeight w:val="315"/>
          <w:jc w:val="center"/>
        </w:trPr>
        <w:tc>
          <w:tcPr>
            <w:tcW w:w="1560" w:type="dxa"/>
            <w:vMerge/>
            <w:noWrap/>
            <w:vAlign w:val="center"/>
          </w:tcPr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OHP 1µM</w:t>
            </w: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48.85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1.55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43.41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0.56*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686E">
        <w:trPr>
          <w:trHeight w:val="315"/>
          <w:jc w:val="center"/>
        </w:trPr>
        <w:tc>
          <w:tcPr>
            <w:tcW w:w="1560" w:type="dxa"/>
            <w:vMerge/>
            <w:noWrap/>
            <w:vAlign w:val="center"/>
          </w:tcPr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OHP 3µM</w:t>
            </w: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29.72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3.01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26.80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686E">
        <w:trPr>
          <w:trHeight w:val="315"/>
          <w:jc w:val="center"/>
        </w:trPr>
        <w:tc>
          <w:tcPr>
            <w:tcW w:w="1560" w:type="dxa"/>
            <w:vMerge/>
            <w:noWrap/>
            <w:vAlign w:val="center"/>
          </w:tcPr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OHP 10µM</w:t>
            </w: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22.61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1.66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23.71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0.64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686E">
        <w:trPr>
          <w:trHeight w:val="315"/>
          <w:jc w:val="center"/>
        </w:trPr>
        <w:tc>
          <w:tcPr>
            <w:tcW w:w="1560" w:type="dxa"/>
            <w:vMerge/>
            <w:noWrap/>
            <w:vAlign w:val="center"/>
          </w:tcPr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OHP 30µM</w:t>
            </w: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23.77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0.80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26.18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0.81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686E">
        <w:trPr>
          <w:trHeight w:val="315"/>
          <w:jc w:val="center"/>
        </w:trPr>
        <w:tc>
          <w:tcPr>
            <w:tcW w:w="1560" w:type="dxa"/>
            <w:vMerge/>
            <w:noWrap/>
            <w:vAlign w:val="center"/>
          </w:tcPr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OHP 100µM</w:t>
            </w: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21.99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1.12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20.55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</w:tr>
      <w:tr w:rsidR="00BE686E">
        <w:trPr>
          <w:trHeight w:val="315"/>
          <w:jc w:val="center"/>
        </w:trPr>
        <w:tc>
          <w:tcPr>
            <w:tcW w:w="1560" w:type="dxa"/>
            <w:vMerge w:val="restart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5-FU</w:t>
            </w:r>
          </w:p>
        </w:tc>
        <w:tc>
          <w:tcPr>
            <w:tcW w:w="1701" w:type="dxa"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Ctrl</w:t>
            </w: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± 2.12</w:t>
            </w: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84.97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± 2.01*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686E">
        <w:trPr>
          <w:trHeight w:val="315"/>
          <w:jc w:val="center"/>
        </w:trPr>
        <w:tc>
          <w:tcPr>
            <w:tcW w:w="1560" w:type="dxa"/>
            <w:vMerge/>
            <w:noWrap/>
            <w:vAlign w:val="center"/>
          </w:tcPr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5-FU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0.02µM</w:t>
            </w: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93.74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5.41</w:t>
            </w: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98.36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1.11*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686E">
        <w:trPr>
          <w:trHeight w:val="315"/>
          <w:jc w:val="center"/>
        </w:trPr>
        <w:tc>
          <w:tcPr>
            <w:tcW w:w="1560" w:type="dxa"/>
            <w:vMerge/>
            <w:noWrap/>
            <w:vAlign w:val="center"/>
          </w:tcPr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5-FU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0.1µM</w:t>
            </w: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103.49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2.31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99.60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1.66*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686E">
        <w:trPr>
          <w:trHeight w:val="315"/>
          <w:jc w:val="center"/>
        </w:trPr>
        <w:tc>
          <w:tcPr>
            <w:tcW w:w="1560" w:type="dxa"/>
            <w:vMerge/>
            <w:noWrap/>
            <w:vAlign w:val="center"/>
          </w:tcPr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5-FU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0.5µM</w:t>
            </w: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102.41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2.87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79.23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3.93*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686E">
        <w:trPr>
          <w:trHeight w:val="315"/>
          <w:jc w:val="center"/>
        </w:trPr>
        <w:tc>
          <w:tcPr>
            <w:tcW w:w="1560" w:type="dxa"/>
            <w:vMerge/>
            <w:noWrap/>
            <w:vAlign w:val="center"/>
          </w:tcPr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5-FU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1µM</w:t>
            </w: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92.98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6.02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61.42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4.60*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686E">
        <w:trPr>
          <w:trHeight w:val="315"/>
          <w:jc w:val="center"/>
        </w:trPr>
        <w:tc>
          <w:tcPr>
            <w:tcW w:w="1560" w:type="dxa"/>
            <w:vMerge/>
            <w:noWrap/>
            <w:vAlign w:val="center"/>
          </w:tcPr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5-FU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3µM</w:t>
            </w: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52.44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2.90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48.03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3.13*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686E">
        <w:trPr>
          <w:trHeight w:val="315"/>
          <w:jc w:val="center"/>
        </w:trPr>
        <w:tc>
          <w:tcPr>
            <w:tcW w:w="1560" w:type="dxa"/>
            <w:vMerge/>
            <w:noWrap/>
            <w:vAlign w:val="center"/>
          </w:tcPr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5-FU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10µM</w:t>
            </w: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35.98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33.34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0.37*</w:t>
            </w:r>
          </w:p>
        </w:tc>
      </w:tr>
      <w:tr w:rsidR="00BE686E">
        <w:trPr>
          <w:trHeight w:val="315"/>
          <w:jc w:val="center"/>
        </w:trPr>
        <w:tc>
          <w:tcPr>
            <w:tcW w:w="1560" w:type="dxa"/>
            <w:vMerge/>
            <w:noWrap/>
            <w:vAlign w:val="center"/>
          </w:tcPr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5-FU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30µM</w:t>
            </w: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24.22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0.52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25.35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686E">
        <w:trPr>
          <w:trHeight w:val="315"/>
          <w:jc w:val="center"/>
        </w:trPr>
        <w:tc>
          <w:tcPr>
            <w:tcW w:w="1560" w:type="dxa"/>
            <w:vMerge/>
            <w:noWrap/>
            <w:vAlign w:val="center"/>
          </w:tcPr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5-FU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100µM</w:t>
            </w: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20.86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0.62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:rsidR="00BE686E" w:rsidRDefault="0000000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25.69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±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  <w:p w:rsidR="00BE686E" w:rsidRDefault="00BE68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BE686E" w:rsidRDefault="00BE686E">
      <w:pPr>
        <w:rPr>
          <w:rFonts w:ascii="Times New Roman" w:hAnsi="Times New Roman" w:cs="Times New Roman"/>
          <w:sz w:val="20"/>
          <w:szCs w:val="20"/>
        </w:rPr>
      </w:pPr>
    </w:p>
    <w:p w:rsidR="00BE686E" w:rsidRDefault="00BE686E">
      <w:pPr>
        <w:rPr>
          <w:rFonts w:ascii="Times New Roman" w:hAnsi="Times New Roman" w:cs="Times New Roman"/>
          <w:sz w:val="20"/>
          <w:szCs w:val="20"/>
        </w:rPr>
      </w:pPr>
    </w:p>
    <w:p w:rsidR="00BE686E" w:rsidRDefault="00BE686E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BE686E" w:rsidRDefault="00000000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Data are expressed as percentage of the corresponding untreated control and reported as mean ± SE from at least three independent experiments. Statistical analyses were performed using two-way ANOVA. considering shRNA-Pnn silencing status and drug concentration as independent variables. followed by Tukey’s multiple comparisons post-hoc test. Significant differences were assessed between corresponding control and shRNA-Pnn groups at each OHP or 5-FU concentration. *p &lt; 0.05 was considered statistically significant.</w:t>
      </w:r>
    </w:p>
    <w:p w:rsidR="00BE686E" w:rsidRDefault="00BE686E">
      <w:pPr>
        <w:rPr>
          <w:rFonts w:ascii="Times New Roman" w:hAnsi="Times New Roman" w:cs="Times New Roman"/>
          <w:sz w:val="20"/>
          <w:szCs w:val="20"/>
        </w:rPr>
      </w:pPr>
    </w:p>
    <w:sectPr w:rsidR="00BE68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04DCE" w:rsidRDefault="00204DCE">
      <w:pPr>
        <w:spacing w:line="240" w:lineRule="auto"/>
      </w:pPr>
      <w:r>
        <w:separator/>
      </w:r>
    </w:p>
  </w:endnote>
  <w:endnote w:type="continuationSeparator" w:id="0">
    <w:p w:rsidR="00204DCE" w:rsidRDefault="00204D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altName w:val="Calibri"/>
    <w:charset w:val="00"/>
    <w:family w:val="swiss"/>
    <w:pitch w:val="default"/>
    <w:sig w:usb0="20000287" w:usb1="00000003" w:usb2="00000000" w:usb3="00000000" w:csb0="2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04DCE" w:rsidRDefault="00204DCE">
      <w:pPr>
        <w:spacing w:after="0"/>
      </w:pPr>
      <w:r>
        <w:separator/>
      </w:r>
    </w:p>
  </w:footnote>
  <w:footnote w:type="continuationSeparator" w:id="0">
    <w:p w:rsidR="00204DCE" w:rsidRDefault="00204DC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F65"/>
    <w:rsid w:val="00000D5A"/>
    <w:rsid w:val="00035A8C"/>
    <w:rsid w:val="000426C1"/>
    <w:rsid w:val="00046CBF"/>
    <w:rsid w:val="000820BD"/>
    <w:rsid w:val="00204DCE"/>
    <w:rsid w:val="002E1B66"/>
    <w:rsid w:val="003A1449"/>
    <w:rsid w:val="003A2B13"/>
    <w:rsid w:val="003A4CE0"/>
    <w:rsid w:val="003F163F"/>
    <w:rsid w:val="00520F65"/>
    <w:rsid w:val="005604F0"/>
    <w:rsid w:val="005F1DA6"/>
    <w:rsid w:val="00601F35"/>
    <w:rsid w:val="00671862"/>
    <w:rsid w:val="006925D4"/>
    <w:rsid w:val="00712F2A"/>
    <w:rsid w:val="00761A94"/>
    <w:rsid w:val="007D649C"/>
    <w:rsid w:val="007E64C8"/>
    <w:rsid w:val="00834E4B"/>
    <w:rsid w:val="008553BE"/>
    <w:rsid w:val="008817CC"/>
    <w:rsid w:val="00893817"/>
    <w:rsid w:val="00A0435C"/>
    <w:rsid w:val="00A2502A"/>
    <w:rsid w:val="00AC4A14"/>
    <w:rsid w:val="00AE2994"/>
    <w:rsid w:val="00AF4169"/>
    <w:rsid w:val="00B11B37"/>
    <w:rsid w:val="00BA7ACF"/>
    <w:rsid w:val="00BE5811"/>
    <w:rsid w:val="00BE686E"/>
    <w:rsid w:val="00C4159F"/>
    <w:rsid w:val="00D612D1"/>
    <w:rsid w:val="00ED03A7"/>
    <w:rsid w:val="2DBE605E"/>
    <w:rsid w:val="7E6F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82C04"/>
  <w15:docId w15:val="{1A8AB5A8-71EF-4C6B-A36F-236222D62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val="it-IT"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4">
    <w:name w:val="annotation text"/>
    <w:basedOn w:val="a"/>
    <w:link w:val="a5"/>
    <w:uiPriority w:val="99"/>
    <w:unhideWhenUsed/>
    <w:qFormat/>
  </w:style>
  <w:style w:type="paragraph" w:styleId="a6">
    <w:name w:val="annotation subject"/>
    <w:basedOn w:val="a4"/>
    <w:next w:val="a4"/>
    <w:link w:val="a7"/>
    <w:uiPriority w:val="99"/>
    <w:semiHidden/>
    <w:unhideWhenUsed/>
    <w:qFormat/>
    <w:rPr>
      <w:b/>
      <w:bCs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Subtitle"/>
    <w:basedOn w:val="a"/>
    <w:next w:val="a"/>
    <w:link w:val="ad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itle"/>
    <w:basedOn w:val="a"/>
    <w:next w:val="a"/>
    <w:link w:val="af0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f0">
    <w:name w:val="标题 字符"/>
    <w:basedOn w:val="a0"/>
    <w:link w:val="af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副标题 字符"/>
    <w:basedOn w:val="a0"/>
    <w:link w:val="ac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f1">
    <w:name w:val="Quote"/>
    <w:basedOn w:val="a"/>
    <w:next w:val="a"/>
    <w:link w:val="af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f2">
    <w:name w:val="引用 字符"/>
    <w:basedOn w:val="a0"/>
    <w:link w:val="af1"/>
    <w:uiPriority w:val="29"/>
    <w:qFormat/>
    <w:rPr>
      <w:i/>
      <w:iCs/>
      <w:color w:val="404040" w:themeColor="text1" w:themeTint="BF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Enfasiintensa1">
    <w:name w:val="Enfasi intensa1"/>
    <w:basedOn w:val="a0"/>
    <w:uiPriority w:val="21"/>
    <w:qFormat/>
    <w:rPr>
      <w:i/>
      <w:iCs/>
      <w:color w:val="0F4761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5">
    <w:name w:val="明显引用 字符"/>
    <w:basedOn w:val="a0"/>
    <w:link w:val="af4"/>
    <w:uiPriority w:val="30"/>
    <w:qFormat/>
    <w:rPr>
      <w:i/>
      <w:iCs/>
      <w:color w:val="0F4761" w:themeColor="accent1" w:themeShade="BF"/>
    </w:rPr>
  </w:style>
  <w:style w:type="character" w:customStyle="1" w:styleId="Riferimentointenso1">
    <w:name w:val="Riferimento intenso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b">
    <w:name w:val="页眉 字符"/>
    <w:basedOn w:val="a0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sz w:val="18"/>
      <w:szCs w:val="18"/>
    </w:rPr>
  </w:style>
  <w:style w:type="character" w:customStyle="1" w:styleId="a5">
    <w:name w:val="批注文字 字符"/>
    <w:basedOn w:val="a0"/>
    <w:link w:val="a4"/>
    <w:uiPriority w:val="99"/>
    <w:qFormat/>
  </w:style>
  <w:style w:type="character" w:customStyle="1" w:styleId="a7">
    <w:name w:val="批注主题 字符"/>
    <w:basedOn w:val="a5"/>
    <w:link w:val="a6"/>
    <w:uiPriority w:val="99"/>
    <w:semiHidden/>
    <w:qFormat/>
    <w:rPr>
      <w:b/>
      <w:bCs/>
    </w:rPr>
  </w:style>
  <w:style w:type="paragraph" w:customStyle="1" w:styleId="11">
    <w:name w:val="修订1"/>
    <w:hidden/>
    <w:uiPriority w:val="99"/>
    <w:unhideWhenUsed/>
    <w:qFormat/>
    <w:rPr>
      <w:kern w:val="2"/>
      <w:sz w:val="22"/>
      <w:szCs w:val="22"/>
      <w:lang w:val="it-IT" w:eastAsia="en-US"/>
      <w14:ligatures w14:val="standardContextual"/>
    </w:rPr>
  </w:style>
  <w:style w:type="paragraph" w:styleId="af6">
    <w:name w:val="Revision"/>
    <w:hidden/>
    <w:uiPriority w:val="99"/>
    <w:unhideWhenUsed/>
    <w:rsid w:val="00AE2994"/>
    <w:rPr>
      <w:kern w:val="2"/>
      <w:sz w:val="22"/>
      <w:szCs w:val="22"/>
      <w:lang w:val="it-IT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Lapucci</dc:creator>
  <cp:lastModifiedBy>Office365</cp:lastModifiedBy>
  <cp:revision>2</cp:revision>
  <dcterms:created xsi:type="dcterms:W3CDTF">2026-07-14T06:10:00Z</dcterms:created>
  <dcterms:modified xsi:type="dcterms:W3CDTF">2026-07-14T06:10:00Z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5df4a729-cf82-4c65-b9ed-5cc129ce08c6</vt:lpwstr>
  </property>
  <property fmtid="{D5CDD505-2E9C-101B-9397-08002B2CF9AE}" pid="3" name="KSOProductBuildVer">
    <vt:lpwstr>1033-12.1.0.26880</vt:lpwstr>
  </property>
  <property fmtid="{D5CDD505-2E9C-101B-9397-08002B2CF9AE}" pid="4" name="ICV">
    <vt:lpwstr>AD5839E580A747D7810472432D3AE3A1_13</vt:lpwstr>
  </property>
  <property fmtid="{D5CDD505-2E9C-101B-9397-08002B2CF9AE}" pid="5" name="KSOTemplateDocerSaveRecord">
    <vt:lpwstr>eyJoZGlkIjoiMWIxOWY5NjA2OGNlNjNmNGM0OGEyMzcyNDYwMmIzMTYiLCJ1c2VySWQiOiIxMzc0NDEyNzUyODEifQ==</vt:lpwstr>
  </property>
</Properties>
</file>